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python-dib-utils 0.0.11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 Hewlett-Packard Development Company, L.P.</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